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before="232" w:after="232" w:line="240" w:lineRule="auto"/>
        <w:outlineLvl w:val="1"/>
      </w:pP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/>
          <w:b w:val="1"/>
          <w:bCs w:val="1"/>
          <w:sz w:val="32"/>
          <w:szCs w:val="32"/>
          <w:u w:val="single"/>
          <w:rtl w:val="0"/>
          <w:lang w:val="en-US"/>
        </w:rPr>
        <w:t>New Studio-User Application:</w:t>
      </w:r>
      <w:r>
        <w:rPr>
          <w:rFonts w:ascii="Arial" w:hAnsi="Arial"/>
          <w:b w:val="1"/>
          <w:bCs w:val="1"/>
          <w:sz w:val="32"/>
          <w:szCs w:val="32"/>
          <w:rtl w:val="0"/>
        </w:rPr>
        <w:t xml:space="preserve"> 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Phase 1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259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Name of Applicant: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____________________________________________________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259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Address:</w:t>
      </w:r>
      <w:r>
        <w:rPr>
          <w:rFonts w:ascii="Arial" w:hAnsi="Arial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_____________________________________________________________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259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Email:</w:t>
        <w:tab/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_______________________________________________________________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259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Cell phone: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______________________</w:t>
      </w:r>
      <w:r>
        <w:rPr>
          <w:rFonts w:ascii="Arial" w:hAnsi="Arial"/>
          <w:sz w:val="24"/>
          <w:szCs w:val="24"/>
          <w:rtl w:val="0"/>
          <w:lang w:val="de-DE"/>
        </w:rPr>
        <w:t xml:space="preserve">        Home phone:</w:t>
      </w:r>
      <w:r>
        <w:rPr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______________________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Please list the last 3 classes taken at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Clayworx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and teachers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 xml:space="preserve">’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names - most recent first:</w:t>
      </w:r>
    </w:p>
    <w:tbl>
      <w:tblPr>
        <w:tblW w:w="932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151"/>
        <w:gridCol w:w="3081"/>
        <w:gridCol w:w="3094"/>
      </w:tblGrid>
      <w:tr>
        <w:tblPrEx>
          <w:shd w:val="clear" w:color="auto" w:fill="d0ddef"/>
        </w:tblPrEx>
        <w:trPr>
          <w:trHeight w:val="1024" w:hRule="atLeast"/>
        </w:trPr>
        <w:tc>
          <w:tcPr>
            <w:tcW w:type="dxa" w:w="3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160" w:line="259" w:lineRule="auto"/>
              <w:rPr>
                <w:rFonts w:ascii="Arial" w:cs="Arial" w:hAnsi="Arial" w:eastAsia="Arial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Name of class</w:t>
            </w:r>
          </w:p>
          <w:p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(Wheel I, Handbuilding, Combo, Wheel Shorts</w:t>
            </w:r>
            <w:r>
              <w:rPr>
                <w:rFonts w:ascii="Arial" w:hAnsi="Arial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…</w:t>
            </w:r>
            <w:r>
              <w:rPr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 w:line="240" w:lineRule="auto"/>
              <w:rPr>
                <w:rFonts w:ascii="Arial" w:cs="Arial" w:hAnsi="Arial" w:eastAsia="Arial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Session + year</w:t>
            </w:r>
          </w:p>
          <w:p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(Spring, Summer, Winter, Fall + 2019, 2020, etc.)</w:t>
            </w:r>
          </w:p>
        </w:tc>
        <w:tc>
          <w:tcPr>
            <w:tcW w:type="dxa" w:w="30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Name of Instructor</w:t>
            </w:r>
          </w:p>
        </w:tc>
      </w:tr>
      <w:tr>
        <w:tblPrEx>
          <w:shd w:val="clear" w:color="auto" w:fill="d0ddef"/>
        </w:tblPrEx>
        <w:trPr>
          <w:trHeight w:val="400" w:hRule="atLeast"/>
        </w:trPr>
        <w:tc>
          <w:tcPr>
            <w:tcW w:type="dxa" w:w="3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00" w:hRule="atLeast"/>
        </w:trPr>
        <w:tc>
          <w:tcPr>
            <w:tcW w:type="dxa" w:w="3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00" w:hRule="atLeast"/>
        </w:trPr>
        <w:tc>
          <w:tcPr>
            <w:tcW w:type="dxa" w:w="3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40" w:lineRule="auto"/>
      </w:pP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Verification from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Clayworx</w:t>
      </w:r>
      <w:r>
        <w:rPr>
          <w:rFonts w:ascii="Arial" w:hAnsi="Arial"/>
          <w:b w:val="1"/>
          <w:bCs w:val="1"/>
          <w:sz w:val="24"/>
          <w:szCs w:val="24"/>
          <w:rtl w:val="0"/>
          <w:lang w:val="es-ES_tradnl"/>
        </w:rPr>
        <w:t xml:space="preserve"> Instructor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Name of Prospective Studio-User: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Most Recent Course Taken: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Session and Year: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Name of Instructor: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340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Signature of Instructor: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360" w:after="160" w:line="259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en-US"/>
        </w:rPr>
        <w:t xml:space="preserve">I attest that the above-named student demonstrates proficiency and an ability to work on their own at </w:t>
      </w: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en-US"/>
        </w:rPr>
        <w:t>Clayworx</w:t>
      </w: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en-US"/>
        </w:rPr>
        <w:t xml:space="preserve"> and meets all the following criteria:</w:t>
      </w:r>
      <w:r>
        <w:rPr>
          <w:rFonts w:ascii="Arial" w:hAnsi="Arial"/>
          <w:sz w:val="24"/>
          <w:szCs w:val="24"/>
          <w:rtl w:val="0"/>
        </w:rPr>
        <w:t xml:space="preserve">  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40" w:after="160" w:line="259" w:lineRule="auto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As appropriate for the student in question, please choose wheel or hand</w:t>
      </w:r>
      <w:r>
        <w:rPr>
          <w:rFonts w:ascii="Arial" w:hAnsi="Arial"/>
          <w:sz w:val="24"/>
          <w:szCs w:val="24"/>
          <w:rtl w:val="0"/>
          <w:lang w:val="en-US"/>
        </w:rPr>
        <w:t>-</w:t>
      </w:r>
      <w:r>
        <w:rPr>
          <w:rFonts w:ascii="Arial" w:hAnsi="Arial"/>
          <w:sz w:val="24"/>
          <w:szCs w:val="24"/>
          <w:rtl w:val="0"/>
          <w:lang w:val="en-US"/>
        </w:rPr>
        <w:t>building or both.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>WHEEL:</w:t>
      </w:r>
    </w:p>
    <w:p>
      <w:pPr>
        <w:pStyle w:val="Body"/>
        <w:numPr>
          <w:ilvl w:val="0"/>
          <w:numId w:val="2"/>
        </w:numPr>
        <w:bidi w:val="0"/>
        <w:spacing w:after="120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Basic knowledge of stages of throwing: correct wedging technique, centering, opening, widening, stretching, shaping. </w:t>
      </w:r>
    </w:p>
    <w:p>
      <w:pPr>
        <w:pStyle w:val="Body"/>
        <w:numPr>
          <w:ilvl w:val="0"/>
          <w:numId w:val="2"/>
        </w:numPr>
        <w:bidi w:val="0"/>
        <w:spacing w:after="360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Basic knowledge of trimming techniques: optimal dryness, how to secure a pot on the wheel head, appropriate thickness.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HANDBUILDING: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rPr>
          <w:rFonts w:ascii="Arial" w:cs="Arial" w:hAnsi="Arial" w:eastAsia="Arial"/>
          <w:sz w:val="24"/>
          <w:szCs w:val="24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◻</w:t>
      </w:r>
      <w:r>
        <w:rPr>
          <w:rFonts w:ascii="Arial" w:hAnsi="Arial"/>
          <w:sz w:val="24"/>
          <w:szCs w:val="24"/>
          <w:rtl w:val="0"/>
          <w:lang w:val="en-US"/>
        </w:rPr>
        <w:t xml:space="preserve">   Knowledge of basic clay techniques: pinch pot, coil, soft slab cylinder, hard slab.</w:t>
      </w:r>
    </w:p>
    <w:p>
      <w:pPr>
        <w:pStyle w:val="Body"/>
        <w:numPr>
          <w:ilvl w:val="0"/>
          <w:numId w:val="2"/>
        </w:numPr>
        <w:bidi w:val="0"/>
        <w:spacing w:after="120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Can use slab roller independently.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80"/>
        <w:rPr>
          <w:rFonts w:ascii="Arial" w:cs="Arial" w:hAnsi="Arial" w:eastAsia="Arial"/>
          <w:sz w:val="24"/>
          <w:szCs w:val="24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◻</w:t>
      </w:r>
      <w:r>
        <w:rPr>
          <w:rFonts w:ascii="Arial" w:hAnsi="Arial"/>
          <w:sz w:val="24"/>
          <w:szCs w:val="24"/>
          <w:rtl w:val="0"/>
          <w:lang w:val="en-US"/>
        </w:rPr>
        <w:t xml:space="preserve">   Can correctly attach pieces of clay using scoring and joining product (slurry, water, etc.)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rPr>
          <w:rFonts w:ascii="Arial" w:cs="Arial" w:hAnsi="Arial" w:eastAsia="Arial"/>
          <w:b w:val="1"/>
          <w:bCs w:val="1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  <w:rtl w:val="0"/>
          <w:lang w:val="en-US"/>
        </w:rPr>
        <w:t>Please check all that apply from the following: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FINISHING AND GLAZING: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357" w:hanging="357"/>
        <w:rPr>
          <w:rFonts w:ascii="Arial" w:cs="Arial" w:hAnsi="Arial" w:eastAsia="Arial"/>
          <w:sz w:val="24"/>
          <w:szCs w:val="24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◻</w:t>
      </w:r>
      <w:r>
        <w:rPr>
          <w:rFonts w:ascii="Arial" w:hAnsi="Arial"/>
          <w:sz w:val="24"/>
          <w:szCs w:val="24"/>
          <w:rtl w:val="0"/>
          <w:lang w:val="en-US"/>
        </w:rPr>
        <w:t xml:space="preserve">   Knows the difference between green ware, bisque, and glazed product and which finishes are appropriate for each stage (ie. slips, stains, and glaze)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357" w:hanging="357"/>
        <w:rPr>
          <w:rFonts w:ascii="Arial" w:cs="Arial" w:hAnsi="Arial" w:eastAsia="Arial"/>
          <w:sz w:val="24"/>
          <w:szCs w:val="24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◻</w:t>
      </w:r>
      <w:r>
        <w:rPr>
          <w:rFonts w:ascii="Arial" w:hAnsi="Arial"/>
          <w:sz w:val="24"/>
          <w:szCs w:val="24"/>
          <w:rtl w:val="0"/>
          <w:lang w:val="en-US"/>
        </w:rPr>
        <w:t xml:space="preserve">   Knows how to correctly finish pots prior to bisque (trimming, clean pot bottoms, signing of pots with symbol)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357" w:hanging="357"/>
        <w:rPr>
          <w:rFonts w:ascii="Arial" w:cs="Arial" w:hAnsi="Arial" w:eastAsia="Arial"/>
          <w:sz w:val="24"/>
          <w:szCs w:val="24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◻</w:t>
      </w:r>
      <w:r>
        <w:rPr>
          <w:rFonts w:ascii="Arial" w:hAnsi="Arial"/>
          <w:sz w:val="24"/>
          <w:szCs w:val="24"/>
          <w:rtl w:val="0"/>
          <w:lang w:val="en-US"/>
        </w:rPr>
        <w:t xml:space="preserve">   Knows how to use wax and/or water resist techniques to clean surfaces prior to glazing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357" w:hanging="357"/>
        <w:rPr>
          <w:rFonts w:ascii="Arial" w:cs="Arial" w:hAnsi="Arial" w:eastAsia="Arial"/>
          <w:sz w:val="24"/>
          <w:szCs w:val="24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◻</w:t>
      </w:r>
      <w:r>
        <w:rPr>
          <w:rFonts w:ascii="Arial" w:hAnsi="Arial"/>
          <w:sz w:val="24"/>
          <w:szCs w:val="24"/>
          <w:rtl w:val="0"/>
          <w:lang w:val="en-US"/>
        </w:rPr>
        <w:t xml:space="preserve">   Demonstrates knowledge of glaze application independently:  stirring to achieve desired consistency, achieving correct thickness on pots, distance of glaze from bottom of pots, clean pot bottoms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80"/>
        <w:ind w:left="357" w:hanging="357"/>
        <w:rPr>
          <w:rFonts w:ascii="Arial" w:cs="Arial" w:hAnsi="Arial" w:eastAsia="Arial"/>
          <w:sz w:val="24"/>
          <w:szCs w:val="24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◻</w:t>
      </w:r>
      <w:r>
        <w:rPr>
          <w:rFonts w:ascii="Arial" w:hAnsi="Arial"/>
          <w:sz w:val="24"/>
          <w:szCs w:val="24"/>
          <w:rtl w:val="0"/>
          <w:lang w:val="en-US"/>
        </w:rPr>
        <w:t xml:space="preserve">   Demonstrates correct use of double glazing (non-contamination, top third of pot)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STUDIO HYGIENE, CLEAN-UP, AND SAFETY PROCEDURES: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357" w:hanging="357"/>
        <w:rPr>
          <w:rFonts w:ascii="Arial" w:cs="Arial" w:hAnsi="Arial" w:eastAsia="Arial"/>
          <w:sz w:val="24"/>
          <w:szCs w:val="24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◻</w:t>
      </w:r>
      <w:r>
        <w:rPr>
          <w:rFonts w:ascii="Arial" w:hAnsi="Arial"/>
          <w:sz w:val="24"/>
          <w:szCs w:val="24"/>
          <w:rtl w:val="0"/>
          <w:lang w:val="de-DE"/>
        </w:rPr>
        <w:t xml:space="preserve">   Understands </w:t>
      </w:r>
      <w:r>
        <w:rPr>
          <w:rFonts w:ascii="Arial" w:hAnsi="Arial" w:hint="default"/>
          <w:sz w:val="24"/>
          <w:szCs w:val="24"/>
          <w:rtl w:val="0"/>
          <w:lang w:val="en-US"/>
        </w:rPr>
        <w:t>“</w:t>
      </w:r>
      <w:r>
        <w:rPr>
          <w:rFonts w:ascii="Arial" w:hAnsi="Arial"/>
          <w:sz w:val="24"/>
          <w:szCs w:val="24"/>
          <w:rtl w:val="0"/>
          <w:lang w:val="it-IT"/>
        </w:rPr>
        <w:t>silicosis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” </w:t>
      </w:r>
      <w:r>
        <w:rPr>
          <w:rFonts w:ascii="Arial" w:hAnsi="Arial"/>
          <w:sz w:val="24"/>
          <w:szCs w:val="24"/>
          <w:rtl w:val="0"/>
          <w:lang w:val="en-US"/>
        </w:rPr>
        <w:t>and can explain correct cleanup procedures.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357" w:hanging="357"/>
        <w:rPr>
          <w:rFonts w:ascii="Arial" w:cs="Arial" w:hAnsi="Arial" w:eastAsia="Arial"/>
          <w:sz w:val="24"/>
          <w:szCs w:val="24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◻</w:t>
      </w:r>
      <w:r>
        <w:rPr>
          <w:rFonts w:ascii="Arial" w:hAnsi="Arial"/>
          <w:sz w:val="24"/>
          <w:szCs w:val="24"/>
          <w:rtl w:val="0"/>
          <w:lang w:val="en-US"/>
        </w:rPr>
        <w:t xml:space="preserve">   Leaves work area clean and tidy when class finishes, including wiping table and/or wheel.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357" w:hanging="357"/>
        <w:rPr>
          <w:rFonts w:ascii="Arial" w:cs="Arial" w:hAnsi="Arial" w:eastAsia="Arial"/>
          <w:sz w:val="24"/>
          <w:szCs w:val="24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◻</w:t>
      </w:r>
      <w:r>
        <w:rPr>
          <w:rFonts w:ascii="Arial" w:hAnsi="Arial"/>
          <w:sz w:val="24"/>
          <w:szCs w:val="24"/>
          <w:rtl w:val="0"/>
          <w:lang w:val="en-US"/>
        </w:rPr>
        <w:t xml:space="preserve">   Supports others in the clean-up of shared classroom space (ie. slab table, area in front of sink, glaze buckets etc.).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357" w:hanging="357"/>
        <w:rPr>
          <w:rFonts w:ascii="Arial" w:cs="Arial" w:hAnsi="Arial" w:eastAsia="Arial"/>
          <w:sz w:val="24"/>
          <w:szCs w:val="24"/>
        </w:rPr>
      </w:pPr>
      <w:bookmarkStart w:name="_headingh.gjdgxs" w:id="0"/>
      <w:bookmarkEnd w:id="0"/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◻</w:t>
      </w:r>
      <w:r>
        <w:rPr>
          <w:rtl w:val="0"/>
        </w:rPr>
        <w:t xml:space="preserve">    </w:t>
      </w:r>
      <w:r>
        <w:rPr>
          <w:rFonts w:ascii="Arial" w:hAnsi="Arial"/>
          <w:sz w:val="24"/>
          <w:szCs w:val="24"/>
          <w:rtl w:val="0"/>
          <w:lang w:val="en-US"/>
        </w:rPr>
        <w:t>Knows how to use a mop effectively, and why sweeping is not permitted in the studio.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357" w:hanging="357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◻</w:t>
      </w:r>
      <w:r>
        <w:rPr>
          <w:rFonts w:ascii="Arial" w:hAnsi="Arial"/>
          <w:sz w:val="24"/>
          <w:szCs w:val="24"/>
          <w:rtl w:val="0"/>
          <w:lang w:val="en-US"/>
        </w:rPr>
        <w:t xml:space="preserve">   Demonstrates respectful and courteous behaviour in consideration of others, including use of space, and supporting others in the class.</w:t>
      </w:r>
    </w:p>
    <w:sectPr>
      <w:headerReference w:type="default" r:id="rId4"/>
      <w:footerReference w:type="default" r:id="rId5"/>
      <w:pgSz w:w="11900" w:h="16840" w:orient="portrait"/>
      <w:pgMar w:top="851" w:right="1134" w:bottom="851" w:left="1440" w:header="1080" w:footer="36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>
      <w:rPr>
        <w:outline w:val="0"/>
        <w:color w:val="515151"/>
        <w:rtl w:val="0"/>
        <w:lang w:val="en-US"/>
        <w14:textFill>
          <w14:solidFill>
            <w14:srgbClr w14:val="515151"/>
          </w14:solidFill>
        </w14:textFill>
      </w:rPr>
      <w:t>664 Dundas Street    London ON Canada N5W 2Y8    www.clayworx.ca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>
      <w:drawing>
        <wp:inline distT="0" distB="0" distL="0" distR="0">
          <wp:extent cx="2744037" cy="693641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layworx_Logo_Horizontal_Full_Colou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4037" cy="6936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◻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57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77" w:hanging="35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797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517" w:hanging="35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237" w:hanging="35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957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677" w:hanging="35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397" w:hanging="35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117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